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9CB838E" w:rsidR="00F3668C" w:rsidRPr="00B56577" w:rsidRDefault="00F0382D" w:rsidP="009E63EB">
            <w:pPr>
              <w:pStyle w:val="BodyTextBold"/>
              <w:rPr>
                <w:rFonts w:ascii="Lato" w:hAnsi="Lato"/>
                <w:b w:val="0"/>
              </w:rPr>
            </w:pPr>
            <w:r>
              <w:rPr>
                <w:rFonts w:ascii="Lato" w:hAnsi="Lato"/>
                <w:b w:val="0"/>
              </w:rPr>
              <w:t>MetaEnergy Limited</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10C55B30" w:rsidR="0052508C" w:rsidRPr="00B56577" w:rsidRDefault="00F0382D" w:rsidP="009E63EB">
            <w:pPr>
              <w:pStyle w:val="BodyTextBold"/>
              <w:rPr>
                <w:rFonts w:ascii="Lato" w:hAnsi="Lato"/>
                <w:b w:val="0"/>
              </w:rPr>
            </w:pPr>
            <w:r>
              <w:rPr>
                <w:rFonts w:ascii="Lato" w:hAnsi="Lato"/>
                <w:b w:val="0"/>
              </w:rPr>
              <w:t>Ash Pocock</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36C51561" w:rsidR="0052508C" w:rsidRPr="00B56577" w:rsidRDefault="00F0382D" w:rsidP="009E63EB">
            <w:pPr>
              <w:pStyle w:val="BodyTextBold"/>
              <w:rPr>
                <w:rFonts w:ascii="Lato" w:hAnsi="Lato"/>
                <w:b w:val="0"/>
              </w:rPr>
            </w:pPr>
            <w:r>
              <w:rPr>
                <w:rFonts w:ascii="Lato" w:hAnsi="Lato"/>
                <w:b w:val="0"/>
              </w:rPr>
              <w:t>ash@metaenergy.solutions</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63121786" w:rsidR="0052508C" w:rsidRPr="00B56577" w:rsidRDefault="00F0382D" w:rsidP="009E63EB">
            <w:pPr>
              <w:pStyle w:val="BodyTextBold"/>
              <w:rPr>
                <w:rFonts w:ascii="Lato" w:hAnsi="Lato"/>
                <w:b w:val="0"/>
              </w:rPr>
            </w:pPr>
            <w:r>
              <w:rPr>
                <w:rFonts w:ascii="Lato" w:hAnsi="Lato"/>
                <w:b w:val="0"/>
              </w:rPr>
              <w:t>07867 554724</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195"/>
        <w:gridCol w:w="6724"/>
      </w:tblGrid>
      <w:tr w:rsidR="00DF25BD"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F25BD"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6647FA10" w14:textId="57B73F95" w:rsidR="00312F3A" w:rsidRPr="00B56577" w:rsidRDefault="00F0382D"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on the basis that it is important to periodically review the weighting factors against the extent to which primary/mandatory users are utilising the DCC.  I</w:t>
            </w:r>
            <w:r w:rsidR="00DF25BD">
              <w:rPr>
                <w:rFonts w:ascii="Lato" w:hAnsi="Lato"/>
              </w:rPr>
              <w:t>n consideration of the changes in market roles, regulations and emerging government policy, it would be appropriate to review the weightings more frequently perhaps on a 3-year basis to ensure a fair distribution of costs and to maintain clear visibility of accountability of each ‘core’ user.</w:t>
            </w:r>
          </w:p>
        </w:tc>
      </w:tr>
      <w:tr w:rsidR="00DF25BD"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3EBF2CF3" w14:textId="114008CF" w:rsidR="00312F3A" w:rsidRPr="00B56577" w:rsidRDefault="00DF25BD"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Whilst there is continued sensitivity to DCC charges by Users, there is little incentive applied through the weightings to seek </w:t>
            </w:r>
            <w:r w:rsidR="00231107">
              <w:rPr>
                <w:rFonts w:ascii="Lato" w:hAnsi="Lato"/>
              </w:rPr>
              <w:t xml:space="preserve">savings or increase efficiency, primarily because all costs will be ‘passed-through’ to the Consumers/End Customer, </w:t>
            </w:r>
            <w:proofErr w:type="spellStart"/>
            <w:r w:rsidR="00231107">
              <w:rPr>
                <w:rFonts w:ascii="Lato" w:hAnsi="Lato"/>
              </w:rPr>
              <w:t>eg.</w:t>
            </w:r>
            <w:proofErr w:type="spellEnd"/>
            <w:r w:rsidR="00231107">
              <w:rPr>
                <w:rFonts w:ascii="Lato" w:hAnsi="Lato"/>
              </w:rPr>
              <w:t>, any increase in DNO charges will be included in the Supplier bill.</w:t>
            </w:r>
          </w:p>
        </w:tc>
      </w:tr>
      <w:tr w:rsidR="00DF25BD"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0B516DD2" w14:textId="67EFFE54" w:rsidR="00CC4CD9" w:rsidRPr="00B56577" w:rsidRDefault="0023110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assessment included in the consultation appears to reflect the reality of the situation, and that holistically the outcome for consumers is unlikely to change regardless of the weightings.  </w:t>
            </w:r>
          </w:p>
        </w:tc>
      </w:tr>
      <w:tr w:rsidR="00DF25BD"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56640503" w14:textId="1D4A8D81" w:rsidR="00CC4CD9" w:rsidRPr="00B56577" w:rsidRDefault="0023110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DCC proposal appears to represent a fair and reasonable approach </w:t>
            </w:r>
            <w:r w:rsidR="00A04E43">
              <w:rPr>
                <w:rFonts w:ascii="Lato" w:hAnsi="Lato"/>
              </w:rPr>
              <w:t xml:space="preserve">in consideration of the marginal cost methodology proposed.  </w:t>
            </w:r>
          </w:p>
        </w:tc>
      </w:tr>
      <w:tr w:rsidR="00DF25BD"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43895085" w14:textId="563E5155" w:rsidR="00A04E43" w:rsidRPr="00B56577" w:rsidRDefault="00A04E43" w:rsidP="00A04E4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SRIC appears a suitable approach, however needs to consider whether increases in transactional volumes are driven by regulatory changes or growth in commercial demand.  This also applies to the other options.</w:t>
            </w:r>
          </w:p>
          <w:p w14:paraId="74375D89" w14:textId="50236168"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DF25BD"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02DB4C60" w14:textId="2F242C65" w:rsidR="00CC4CD9" w:rsidRPr="00B56577" w:rsidRDefault="00A04E43"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principle of differentiation where efficiency and cost of service are impacted is sensible, however whether scheduled and on demand is the appropriate needs further consideration.  Maybe peak vs off-peak or levelling of transactions should also be considered, along with message length, replicated messages, etc..</w:t>
            </w:r>
          </w:p>
        </w:tc>
      </w:tr>
      <w:tr w:rsidR="00DF25BD"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4B562517" w14:textId="7DD697D7" w:rsidR="00CC4CD9" w:rsidRPr="00B56577" w:rsidRDefault="002E50E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not at this stage.  The uncertainty associated with Other User forecasts and demand could lead to the DCC becoming underfunded, and unable to provide the quality of service needed to meet customer and consumer requirements.  In the future if Other Users become more reliable in their use of DCC and are prepared to commit to contracts that set minimum transactional volumes, then their contribution could be considered as a legitimate off-set to ‘Core’ user charges.</w:t>
            </w:r>
          </w:p>
        </w:tc>
      </w:tr>
      <w:tr w:rsidR="00DF25BD"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682DF062" w14:textId="3AD7DE03" w:rsidR="00CC4CD9" w:rsidRPr="00B56577" w:rsidRDefault="002E50E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DCC has provided a considered and reflective view on how Other User charges could be applied without discouraging small users from entering the market or potentially applying disproportionate charges as volumes increase.  Market elasticity however will need to be considered and a balanced reached with Other Users over affordability verses achieving volumes that make the use of DCC a long term viable proposition.</w:t>
            </w:r>
          </w:p>
        </w:tc>
      </w:tr>
      <w:tr w:rsidR="00DF25BD"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6C8A88B2" w14:textId="5F883612" w:rsidR="00CC4CD9" w:rsidRPr="00B56577" w:rsidRDefault="002E50E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SMEDR and DCC transactions are linked, with a combination of routine data collection needed to populated SMEDR, alongside dynamic transactions to reflect </w:t>
            </w:r>
            <w:r w:rsidR="00CD2320">
              <w:rPr>
                <w:rFonts w:ascii="Lato" w:hAnsi="Lato"/>
              </w:rPr>
              <w:t>individual consumer needs.  SMEDR must operate on a routine/scheduled basis, however load switching and flexibility require ‘on-demand’ transactions that may be consumer specific, plus tariff changes, firmware updates, messages to IHD/PPMIDs etc., will require DCC to service both ‘core’ and ‘Other’ users for the foreseeable future.</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E91F" w14:textId="77777777" w:rsidR="00B81280" w:rsidRDefault="00B81280" w:rsidP="00FA568E">
      <w:pPr>
        <w:spacing w:after="0"/>
      </w:pPr>
      <w:r>
        <w:separator/>
      </w:r>
    </w:p>
  </w:endnote>
  <w:endnote w:type="continuationSeparator" w:id="0">
    <w:p w14:paraId="1BE4D357" w14:textId="77777777" w:rsidR="00B81280" w:rsidRDefault="00B81280" w:rsidP="00FA568E">
      <w:pPr>
        <w:spacing w:after="0"/>
      </w:pPr>
      <w:r>
        <w:continuationSeparator/>
      </w:r>
    </w:p>
  </w:endnote>
  <w:endnote w:type="continuationNotice" w:id="1">
    <w:p w14:paraId="0B2FD10D" w14:textId="77777777" w:rsidR="00B81280" w:rsidRDefault="00B812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2067" w14:textId="77777777" w:rsidR="00B81280" w:rsidRDefault="00B81280" w:rsidP="00FA568E">
      <w:pPr>
        <w:spacing w:after="0"/>
      </w:pPr>
      <w:r>
        <w:separator/>
      </w:r>
    </w:p>
  </w:footnote>
  <w:footnote w:type="continuationSeparator" w:id="0">
    <w:p w14:paraId="781F07D2" w14:textId="77777777" w:rsidR="00B81280" w:rsidRDefault="00B81280" w:rsidP="00FA568E">
      <w:pPr>
        <w:spacing w:after="0"/>
      </w:pPr>
      <w:r>
        <w:continuationSeparator/>
      </w:r>
    </w:p>
  </w:footnote>
  <w:footnote w:type="continuationNotice" w:id="1">
    <w:p w14:paraId="044E79BB" w14:textId="77777777" w:rsidR="00B81280" w:rsidRDefault="00B812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A49"/>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110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50EF"/>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5DF7"/>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4E43"/>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D2320"/>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5BD"/>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382D"/>
    <w:rsid w:val="00F04C5E"/>
    <w:rsid w:val="00F04F1D"/>
    <w:rsid w:val="00F0607E"/>
    <w:rsid w:val="00F06A24"/>
    <w:rsid w:val="00F06AAD"/>
    <w:rsid w:val="00F06F88"/>
    <w:rsid w:val="00F11B12"/>
    <w:rsid w:val="00F12FE1"/>
    <w:rsid w:val="00F13345"/>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NDYQVYFD76VK-1947674797-398</_dlc_DocId>
    <_dlc_DocIdUrl xmlns="a506c0bb-1327-4a28-8c99-5f231145fa20">
      <Url>https://smartdcc.sharepoint.com/sites/DCCChargingReview/_layouts/15/DocIdRedir.aspx?ID=NDYQVYFD76VK-1947674797-398</Url>
      <Description>NDYQVYFD76VK-1947674797-398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caadc02b-7cc9-4736-8b89-7694a3a12b48"/>
    <ds:schemaRef ds:uri="af099861-8497-4a35-8ea8-f127fb0f0918"/>
    <ds:schemaRef ds:uri="a506c0bb-1327-4a28-8c99-5f231145fa20"/>
  </ds:schemaRefs>
</ds:datastoreItem>
</file>

<file path=customXml/itemProps3.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4.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5.xml><?xml version="1.0" encoding="utf-8"?>
<ds:datastoreItem xmlns:ds="http://schemas.openxmlformats.org/officeDocument/2006/customXml" ds:itemID="{15E95E48-08DB-4E66-858F-55FEE9C22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795</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2025-02-07T11:58:00Z</dcterms:created>
  <dcterms:modified xsi:type="dcterms:W3CDTF">2025-02-07T11:58:00Z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3e47bf3c-d0fb-4531-955c-3d3a6689b72e</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